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7629F1">
        <w:rPr>
          <w:rFonts w:ascii="HG丸ｺﾞｼｯｸM-PRO" w:eastAsia="HG丸ｺﾞｼｯｸM-PRO" w:hAnsi="HG丸ｺﾞｼｯｸM-PRO" w:hint="eastAsia"/>
          <w:b/>
          <w:sz w:val="28"/>
          <w:szCs w:val="28"/>
        </w:rPr>
        <w:t>サンシャイン通り沿道</w:t>
      </w:r>
      <w:r w:rsidR="000A3804">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3D5126"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サンシャイン通り沿道</w:t>
            </w:r>
            <w:bookmarkStart w:id="0" w:name="_GoBack"/>
            <w:bookmarkEnd w:id="0"/>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0A3804">
        <w:trPr>
          <w:trHeight w:val="124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D77A98" w:rsidRPr="00855ECA" w:rsidTr="00695DBF">
        <w:trPr>
          <w:trHeight w:val="92"/>
        </w:trPr>
        <w:tc>
          <w:tcPr>
            <w:tcW w:w="943" w:type="dxa"/>
            <w:vMerge/>
            <w:tcBorders>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D77A98" w:rsidRPr="00855ECA" w:rsidRDefault="00D77A98"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0A3804">
        <w:trPr>
          <w:trHeight w:val="1236"/>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5737" w:rsidRDefault="00F55737" w:rsidP="00351A21">
            <w:pPr>
              <w:rPr>
                <w:rFonts w:ascii="HG丸ｺﾞｼｯｸM-PRO" w:eastAsia="HG丸ｺﾞｼｯｸM-PRO" w:hAnsi="HG丸ｺﾞｼｯｸM-PRO"/>
              </w:rPr>
            </w:pPr>
          </w:p>
          <w:p w:rsidR="00E47E3D" w:rsidRPr="00855ECA" w:rsidRDefault="00E47E3D" w:rsidP="00351A21">
            <w:pPr>
              <w:rPr>
                <w:rFonts w:ascii="HG丸ｺﾞｼｯｸM-PRO" w:eastAsia="HG丸ｺﾞｼｯｸM-PRO" w:hAnsi="HG丸ｺﾞｼｯｸM-PRO"/>
              </w:rPr>
            </w:pPr>
          </w:p>
        </w:tc>
      </w:tr>
      <w:tr w:rsidR="000A3804" w:rsidRPr="00855ECA" w:rsidTr="002657C6">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サンシャイン通りに建築物の顔が向くよう計画する。</w:t>
            </w:r>
          </w:p>
        </w:tc>
      </w:tr>
      <w:tr w:rsidR="000457CA" w:rsidRPr="00855ECA" w:rsidTr="00D77A98">
        <w:trPr>
          <w:trHeight w:val="1271"/>
        </w:trPr>
        <w:tc>
          <w:tcPr>
            <w:tcW w:w="943" w:type="dxa"/>
            <w:vMerge/>
            <w:tcBorders>
              <w:left w:val="single" w:sz="12" w:space="0" w:color="auto"/>
              <w:right w:val="single" w:sz="4" w:space="0" w:color="auto"/>
            </w:tcBorders>
          </w:tcPr>
          <w:p w:rsidR="000457CA" w:rsidRPr="00855ECA" w:rsidRDefault="000457CA"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0457CA" w:rsidRDefault="000457C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457CA" w:rsidRDefault="000457CA" w:rsidP="000457CA">
            <w:pPr>
              <w:rPr>
                <w:rFonts w:ascii="HG丸ｺﾞｼｯｸM-PRO" w:eastAsia="HG丸ｺﾞｼｯｸM-PRO" w:hAnsi="HG丸ｺﾞｼｯｸM-PRO"/>
              </w:rPr>
            </w:pPr>
          </w:p>
          <w:p w:rsidR="00D00EAE" w:rsidRPr="00855ECA" w:rsidRDefault="00D00EAE" w:rsidP="00C96F8C">
            <w:pPr>
              <w:rPr>
                <w:rFonts w:ascii="HG丸ｺﾞｼｯｸM-PRO" w:eastAsia="HG丸ｺﾞｼｯｸM-PRO" w:hAnsi="HG丸ｺﾞｼｯｸM-PRO"/>
              </w:rPr>
            </w:pPr>
          </w:p>
        </w:tc>
      </w:tr>
      <w:tr w:rsidR="000A3804" w:rsidRPr="00855ECA" w:rsidTr="00006DC5">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サンシャイン通りに面してオープンスペースを設けるなど滞留空間の確保に努める。</w:t>
            </w:r>
          </w:p>
        </w:tc>
      </w:tr>
      <w:tr w:rsidR="002D090B" w:rsidRPr="00855ECA" w:rsidTr="00D77A98">
        <w:trPr>
          <w:trHeight w:val="1335"/>
        </w:trPr>
        <w:tc>
          <w:tcPr>
            <w:tcW w:w="943" w:type="dxa"/>
            <w:vMerge/>
            <w:tcBorders>
              <w:left w:val="single" w:sz="12" w:space="0" w:color="auto"/>
              <w:right w:val="single" w:sz="4" w:space="0" w:color="auto"/>
            </w:tcBorders>
          </w:tcPr>
          <w:p w:rsidR="002D090B" w:rsidRPr="00855ECA" w:rsidRDefault="002D090B"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D090B" w:rsidRDefault="002D090B"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D090B" w:rsidRDefault="002D090B" w:rsidP="00B533F2">
            <w:pPr>
              <w:rPr>
                <w:rFonts w:ascii="HG丸ｺﾞｼｯｸM-PRO" w:eastAsia="HG丸ｺﾞｼｯｸM-PRO" w:hAnsi="HG丸ｺﾞｼｯｸM-PRO"/>
              </w:rPr>
            </w:pPr>
          </w:p>
          <w:p w:rsidR="002D090B" w:rsidRPr="00855ECA" w:rsidRDefault="002D090B" w:rsidP="00B533F2">
            <w:pPr>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7D19ED">
            <w:pPr>
              <w:rPr>
                <w:rFonts w:ascii="HG丸ｺﾞｼｯｸM-PRO" w:eastAsia="HG丸ｺﾞｼｯｸM-PRO" w:hAnsi="HG丸ｺﾞｼｯｸM-PRO"/>
              </w:rPr>
            </w:pPr>
            <w:r>
              <w:rPr>
                <w:rFonts w:ascii="HG丸ｺﾞｼｯｸM-PRO" w:eastAsia="HG丸ｺﾞｼｯｸM-PRO" w:hAnsi="HG丸ｺﾞｼｯｸM-PRO" w:hint="eastAsia"/>
              </w:rPr>
              <w:t>〇</w:t>
            </w:r>
            <w:r w:rsidR="004A11E2" w:rsidRPr="004A11E2">
              <w:rPr>
                <w:rFonts w:ascii="HG丸ｺﾞｼｯｸM-PRO" w:eastAsia="HG丸ｺﾞｼｯｸM-PRO" w:hAnsi="HG丸ｺﾞｼｯｸM-PRO" w:hint="eastAsia"/>
              </w:rPr>
              <w:t>ト音記号の広場及びサンシャイン通りからの見え方に配慮する。</w:t>
            </w:r>
          </w:p>
        </w:tc>
      </w:tr>
      <w:tr w:rsidR="00B377C8" w:rsidRPr="00855ECA" w:rsidTr="001361CF">
        <w:trPr>
          <w:trHeight w:val="1549"/>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B377C8" w:rsidRPr="00855ECA" w:rsidTr="000A3804">
        <w:trPr>
          <w:trHeight w:val="185"/>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377C8" w:rsidRPr="00855ECA" w:rsidRDefault="00B377C8" w:rsidP="007629F1">
            <w:pPr>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高さは、圧迫感を生じさせないよう配慮する。</w:t>
            </w:r>
          </w:p>
        </w:tc>
      </w:tr>
      <w:tr w:rsidR="00B377C8" w:rsidRPr="00855ECA" w:rsidTr="001361CF">
        <w:trPr>
          <w:trHeight w:val="1611"/>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1361CF">
        <w:trPr>
          <w:trHeight w:val="159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D77A98">
        <w:trPr>
          <w:trHeight w:val="155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D19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19ED" w:rsidRPr="007D19ED">
              <w:rPr>
                <w:rFonts w:ascii="HG丸ｺﾞｼｯｸM-PRO" w:eastAsia="HG丸ｺﾞｼｯｸM-PRO" w:hAnsi="HG丸ｺﾞｼｯｸM-PRO" w:hint="eastAsia"/>
              </w:rPr>
              <w:t>建築物単体だけでなく、サンシャイン通りの修景施設や、隣接する建築物やト音記号の広場など周辺の景観資源等（公園・緑地、並木、モニュメント等）の調和に配慮する。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5C478D" w:rsidRDefault="005C478D"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5C478D">
        <w:trPr>
          <w:trHeight w:val="130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5C478D">
        <w:trPr>
          <w:trHeight w:val="139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7629F1">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アート・カルチャーの街にふさわしい洗練された照明などに配慮し、歩行者空間における夜間のにぎわいを創出する。</w:t>
            </w:r>
          </w:p>
        </w:tc>
      </w:tr>
      <w:tr w:rsidR="001361CF" w:rsidRPr="00855ECA" w:rsidTr="005C478D">
        <w:trPr>
          <w:trHeight w:val="139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過度な存在感を主張する照明は避け、周辺と調和する光の色・明るさ・方向の照明計画とする。</w:t>
            </w:r>
          </w:p>
        </w:tc>
      </w:tr>
      <w:tr w:rsidR="001361CF" w:rsidRPr="00855ECA" w:rsidTr="005C478D">
        <w:trPr>
          <w:trHeight w:val="147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5C478D">
        <w:trPr>
          <w:trHeight w:val="1398"/>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7D19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外構計画は、サンシャイン通りの人の流れを考慮し、歩行者空間や滞留空間を創出するように配慮する。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7D19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19ED" w:rsidRPr="007D19ED">
              <w:rPr>
                <w:rFonts w:ascii="HG丸ｺﾞｼｯｸM-PRO" w:eastAsia="HG丸ｺﾞｼｯｸM-PRO" w:hAnsi="HG丸ｺﾞｼｯｸM-PRO" w:hint="eastAsia"/>
              </w:rPr>
              <w:t>並木ならびにト音記号の広場等の周辺のみどりとの連続性を考慮し、敷地や建築物を緑化する。</w:t>
            </w:r>
          </w:p>
        </w:tc>
      </w:tr>
      <w:tr w:rsidR="004B4CB4" w:rsidRPr="00855ECA" w:rsidTr="005C478D">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3125BF">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5C478D">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DA" w:rsidRDefault="000533DA" w:rsidP="00267434">
      <w:r>
        <w:separator/>
      </w:r>
    </w:p>
  </w:endnote>
  <w:endnote w:type="continuationSeparator" w:id="0">
    <w:p w:rsidR="000533DA" w:rsidRDefault="000533DA"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DA" w:rsidRDefault="000533DA" w:rsidP="00267434">
      <w:r>
        <w:separator/>
      </w:r>
    </w:p>
  </w:footnote>
  <w:footnote w:type="continuationSeparator" w:id="0">
    <w:p w:rsidR="000533DA" w:rsidRDefault="000533DA"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33D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5126"/>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1E2"/>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9268-5E2B-4913-9CAE-C1D095CE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224</cp:revision>
  <cp:lastPrinted>2017-07-20T07:40:00Z</cp:lastPrinted>
  <dcterms:created xsi:type="dcterms:W3CDTF">2017-07-28T04:31:00Z</dcterms:created>
  <dcterms:modified xsi:type="dcterms:W3CDTF">2020-05-27T01:15:00Z</dcterms:modified>
</cp:coreProperties>
</file>